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C6" w:rsidRPr="00CB20E7" w:rsidRDefault="00DC39C6" w:rsidP="00DC39C6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20E7">
        <w:rPr>
          <w:rFonts w:ascii="Times New Roman" w:hAnsi="Times New Roman" w:cs="Times New Roman"/>
          <w:b/>
          <w:sz w:val="40"/>
          <w:szCs w:val="40"/>
        </w:rPr>
        <w:t xml:space="preserve">Обеспеченность населения площадью </w:t>
      </w:r>
    </w:p>
    <w:p w:rsidR="00DC39C6" w:rsidRPr="00CB20E7" w:rsidRDefault="00DC39C6" w:rsidP="00DC39C6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20E7">
        <w:rPr>
          <w:rFonts w:ascii="Times New Roman" w:hAnsi="Times New Roman" w:cs="Times New Roman"/>
          <w:b/>
          <w:sz w:val="40"/>
          <w:szCs w:val="40"/>
        </w:rPr>
        <w:t>торговых объектов за 2014 год</w:t>
      </w:r>
    </w:p>
    <w:p w:rsidR="00CB20E7" w:rsidRDefault="00CB20E7" w:rsidP="00DC39C6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20E7" w:rsidRPr="00CB20E7" w:rsidRDefault="00CB20E7" w:rsidP="00DC39C6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39C6" w:rsidRPr="00CB20E7" w:rsidRDefault="00DC39C6" w:rsidP="00DC39C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20E7">
        <w:rPr>
          <w:rFonts w:ascii="Times New Roman" w:hAnsi="Times New Roman" w:cs="Times New Roman"/>
          <w:sz w:val="30"/>
          <w:szCs w:val="30"/>
        </w:rPr>
        <w:t>Министерством промышленности, энергетики и торговли Красноярского края проведен анализ фактической и нормативной обеспеченности населения площадью торговых объектов в разрезе торговых площадей по продовольственным и непродовольственным товарам по Красноярскому краю, в том числе по муниципальным образованиям края за 2014 год.</w:t>
      </w:r>
    </w:p>
    <w:p w:rsidR="005C74F0" w:rsidRPr="00CB20E7" w:rsidRDefault="005C74F0" w:rsidP="00DC39C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20E7">
        <w:rPr>
          <w:rFonts w:ascii="Times New Roman" w:hAnsi="Times New Roman" w:cs="Times New Roman"/>
          <w:sz w:val="30"/>
          <w:szCs w:val="30"/>
        </w:rPr>
        <w:t>Обеспеченность населения площадью торговых объектов является одним из показателей развития инфраструктуры потребительского рынка, а также основным критерием оценки уровня социально-экономического развития края, доступности товаров и качества жизни населения.</w:t>
      </w:r>
    </w:p>
    <w:p w:rsidR="00641C19" w:rsidRPr="00CB20E7" w:rsidRDefault="00641C19" w:rsidP="00DC39C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B20E7">
        <w:rPr>
          <w:rFonts w:ascii="Times New Roman" w:hAnsi="Times New Roman" w:cs="Times New Roman"/>
          <w:sz w:val="30"/>
          <w:szCs w:val="30"/>
        </w:rPr>
        <w:t>Нормативы минимальной обеспеченности населения площадью торговых объектов для Красноярского края, муниципальных районов и городских округов края установлены законом Красноярского края от 19.12.2013 № 5-1997 «О нормативах минимальной обеспеченности населения площадью торговых объектов для Красноярского края, муниципальных районов и городских округов края» до 31.12.2017.</w:t>
      </w:r>
      <w:proofErr w:type="gramEnd"/>
    </w:p>
    <w:p w:rsidR="003E07BE" w:rsidRPr="00CB20E7" w:rsidRDefault="003E07BE" w:rsidP="00DC39C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20E7">
        <w:rPr>
          <w:rFonts w:ascii="Times New Roman" w:hAnsi="Times New Roman" w:cs="Times New Roman"/>
          <w:sz w:val="30"/>
          <w:szCs w:val="30"/>
        </w:rPr>
        <w:t>И</w:t>
      </w:r>
      <w:bookmarkStart w:id="0" w:name="_GoBack"/>
      <w:bookmarkEnd w:id="0"/>
      <w:r w:rsidRPr="00CB20E7">
        <w:rPr>
          <w:rFonts w:ascii="Times New Roman" w:hAnsi="Times New Roman" w:cs="Times New Roman"/>
          <w:sz w:val="30"/>
          <w:szCs w:val="30"/>
        </w:rPr>
        <w:t>з анализа следует, что в целом по Красноярскому краю суммарный показатель фактической обеспеченности населения площадью торговых объектов выше установленного норматива на 61,0% и составляет 869,29 кв.</w:t>
      </w:r>
      <w:r w:rsidR="000B27E6" w:rsidRPr="00CB20E7">
        <w:rPr>
          <w:rFonts w:ascii="Times New Roman" w:hAnsi="Times New Roman" w:cs="Times New Roman"/>
          <w:sz w:val="30"/>
          <w:szCs w:val="30"/>
        </w:rPr>
        <w:t xml:space="preserve"> </w:t>
      </w:r>
      <w:r w:rsidRPr="00CB20E7">
        <w:rPr>
          <w:rFonts w:ascii="Times New Roman" w:hAnsi="Times New Roman" w:cs="Times New Roman"/>
          <w:sz w:val="30"/>
          <w:szCs w:val="30"/>
        </w:rPr>
        <w:t>м на 1000 человек.</w:t>
      </w:r>
    </w:p>
    <w:p w:rsidR="00D325F7" w:rsidRPr="00CB20E7" w:rsidRDefault="00D325F7" w:rsidP="00DC39C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20E7">
        <w:rPr>
          <w:rFonts w:ascii="Times New Roman" w:hAnsi="Times New Roman" w:cs="Times New Roman"/>
          <w:sz w:val="30"/>
          <w:szCs w:val="30"/>
        </w:rPr>
        <w:t>При этом фактическая обеспеченность населения площадью торговых объектов на 1000 человек ниже установленного норматива:</w:t>
      </w:r>
    </w:p>
    <w:p w:rsidR="00D325F7" w:rsidRPr="00CB20E7" w:rsidRDefault="00D325F7" w:rsidP="00D325F7">
      <w:pPr>
        <w:pStyle w:val="a5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CB20E7">
        <w:rPr>
          <w:rFonts w:ascii="Times New Roman" w:hAnsi="Times New Roman" w:cs="Times New Roman"/>
          <w:sz w:val="30"/>
          <w:szCs w:val="30"/>
        </w:rPr>
        <w:t>по продаже продовольственных товаров в 3 муниципальных образованиях края (отклонение составляет в среднем 23,7 кв.</w:t>
      </w:r>
      <w:r w:rsidR="000B27E6" w:rsidRPr="00CB20E7">
        <w:rPr>
          <w:rFonts w:ascii="Times New Roman" w:hAnsi="Times New Roman" w:cs="Times New Roman"/>
          <w:sz w:val="30"/>
          <w:szCs w:val="30"/>
        </w:rPr>
        <w:t xml:space="preserve"> </w:t>
      </w:r>
      <w:r w:rsidRPr="00CB20E7">
        <w:rPr>
          <w:rFonts w:ascii="Times New Roman" w:hAnsi="Times New Roman" w:cs="Times New Roman"/>
          <w:sz w:val="30"/>
          <w:szCs w:val="30"/>
        </w:rPr>
        <w:t>м);</w:t>
      </w:r>
    </w:p>
    <w:p w:rsidR="00D325F7" w:rsidRPr="00CB20E7" w:rsidRDefault="00D325F7" w:rsidP="00D325F7">
      <w:pPr>
        <w:pStyle w:val="a5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CB20E7">
        <w:rPr>
          <w:rFonts w:ascii="Times New Roman" w:hAnsi="Times New Roman" w:cs="Times New Roman"/>
          <w:sz w:val="30"/>
          <w:szCs w:val="30"/>
        </w:rPr>
        <w:t>по продаже непродовольственных товаров в 25 муниципальных образованиях края (отклонение составляет в среднем 38,6 кв. м).</w:t>
      </w:r>
    </w:p>
    <w:p w:rsidR="001775A4" w:rsidRDefault="001775A4" w:rsidP="00CB20E7">
      <w:pPr>
        <w:pStyle w:val="a5"/>
        <w:spacing w:after="0" w:line="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CB20E7" w:rsidRDefault="004960EB" w:rsidP="00CB20E7">
      <w:pPr>
        <w:pStyle w:val="a5"/>
        <w:spacing w:after="0" w:line="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CB20E7">
        <w:rPr>
          <w:rFonts w:ascii="Times New Roman" w:hAnsi="Times New Roman" w:cs="Times New Roman"/>
          <w:sz w:val="30"/>
          <w:szCs w:val="30"/>
        </w:rPr>
        <w:t xml:space="preserve">На территории </w:t>
      </w:r>
      <w:proofErr w:type="gramStart"/>
      <w:r w:rsidRPr="00CB20E7">
        <w:rPr>
          <w:rFonts w:ascii="Times New Roman" w:hAnsi="Times New Roman" w:cs="Times New Roman"/>
          <w:sz w:val="30"/>
          <w:szCs w:val="30"/>
        </w:rPr>
        <w:t>муниципального</w:t>
      </w:r>
      <w:proofErr w:type="gramEnd"/>
      <w:r w:rsidRPr="00CB20E7">
        <w:rPr>
          <w:rFonts w:ascii="Times New Roman" w:hAnsi="Times New Roman" w:cs="Times New Roman"/>
          <w:sz w:val="30"/>
          <w:szCs w:val="30"/>
        </w:rPr>
        <w:t xml:space="preserve"> образования город Дивногорск</w:t>
      </w:r>
      <w:r w:rsidR="00CB20E7">
        <w:rPr>
          <w:rFonts w:ascii="Times New Roman" w:hAnsi="Times New Roman" w:cs="Times New Roman"/>
          <w:sz w:val="30"/>
          <w:szCs w:val="30"/>
        </w:rPr>
        <w:t xml:space="preserve"> за</w:t>
      </w:r>
    </w:p>
    <w:p w:rsidR="000B27E6" w:rsidRPr="00CB20E7" w:rsidRDefault="004960EB" w:rsidP="00CB20E7">
      <w:pPr>
        <w:spacing w:after="0" w:line="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CB20E7">
        <w:rPr>
          <w:rFonts w:ascii="Times New Roman" w:hAnsi="Times New Roman" w:cs="Times New Roman"/>
          <w:sz w:val="30"/>
          <w:szCs w:val="30"/>
        </w:rPr>
        <w:t>2014</w:t>
      </w:r>
      <w:r w:rsidR="00CB20E7">
        <w:rPr>
          <w:rFonts w:ascii="Times New Roman" w:hAnsi="Times New Roman" w:cs="Times New Roman"/>
          <w:sz w:val="30"/>
          <w:szCs w:val="30"/>
        </w:rPr>
        <w:t xml:space="preserve"> </w:t>
      </w:r>
      <w:r w:rsidRPr="00CB20E7">
        <w:rPr>
          <w:rFonts w:ascii="Times New Roman" w:hAnsi="Times New Roman" w:cs="Times New Roman"/>
          <w:sz w:val="30"/>
          <w:szCs w:val="30"/>
        </w:rPr>
        <w:t xml:space="preserve">год </w:t>
      </w:r>
      <w:r w:rsidR="00CB20E7" w:rsidRPr="00CB20E7">
        <w:rPr>
          <w:rFonts w:ascii="Times New Roman" w:hAnsi="Times New Roman" w:cs="Times New Roman"/>
          <w:sz w:val="30"/>
          <w:szCs w:val="30"/>
        </w:rPr>
        <w:t xml:space="preserve"> </w:t>
      </w:r>
      <w:r w:rsidRPr="00CB20E7">
        <w:rPr>
          <w:rFonts w:ascii="Times New Roman" w:hAnsi="Times New Roman" w:cs="Times New Roman"/>
          <w:sz w:val="30"/>
          <w:szCs w:val="30"/>
        </w:rPr>
        <w:t xml:space="preserve">фактическая обеспеченность населения площадью торговых объектов  составила 762,70 кв. м на </w:t>
      </w:r>
      <w:r w:rsidR="00CB20E7" w:rsidRPr="00CB20E7">
        <w:rPr>
          <w:rFonts w:ascii="Times New Roman" w:hAnsi="Times New Roman" w:cs="Times New Roman"/>
          <w:sz w:val="30"/>
          <w:szCs w:val="30"/>
        </w:rPr>
        <w:t>1000 человек, что выше на 67,0%</w:t>
      </w:r>
      <w:r w:rsidRPr="00CB20E7">
        <w:rPr>
          <w:rFonts w:ascii="Times New Roman" w:hAnsi="Times New Roman" w:cs="Times New Roman"/>
          <w:sz w:val="30"/>
          <w:szCs w:val="30"/>
        </w:rPr>
        <w:t xml:space="preserve"> </w:t>
      </w:r>
      <w:r w:rsidR="00CB20E7" w:rsidRPr="00CB20E7">
        <w:rPr>
          <w:rFonts w:ascii="Times New Roman" w:hAnsi="Times New Roman" w:cs="Times New Roman"/>
          <w:sz w:val="30"/>
          <w:szCs w:val="30"/>
        </w:rPr>
        <w:t xml:space="preserve"> от установленного норматива</w:t>
      </w:r>
      <w:r w:rsidR="00CB20E7">
        <w:rPr>
          <w:rFonts w:ascii="Times New Roman" w:hAnsi="Times New Roman" w:cs="Times New Roman"/>
          <w:sz w:val="30"/>
          <w:szCs w:val="30"/>
        </w:rPr>
        <w:t xml:space="preserve">, по продовольственным товарам фактическая обеспеченность населения превышает норматив на </w:t>
      </w:r>
      <w:r w:rsidR="001775A4">
        <w:rPr>
          <w:rFonts w:ascii="Times New Roman" w:hAnsi="Times New Roman" w:cs="Times New Roman"/>
          <w:sz w:val="30"/>
          <w:szCs w:val="30"/>
        </w:rPr>
        <w:t xml:space="preserve">117%, по </w:t>
      </w:r>
      <w:r w:rsidR="00CB20E7" w:rsidRPr="00CB20E7">
        <w:rPr>
          <w:rFonts w:ascii="Times New Roman" w:hAnsi="Times New Roman" w:cs="Times New Roman"/>
          <w:sz w:val="30"/>
          <w:szCs w:val="30"/>
        </w:rPr>
        <w:t xml:space="preserve"> </w:t>
      </w:r>
      <w:r w:rsidR="001775A4">
        <w:rPr>
          <w:rFonts w:ascii="Times New Roman" w:hAnsi="Times New Roman" w:cs="Times New Roman"/>
          <w:sz w:val="30"/>
          <w:szCs w:val="30"/>
        </w:rPr>
        <w:t>непродовольственным товарам фактическая обеспеченность населения превышает норматив на 45% (см. график 1).</w:t>
      </w:r>
    </w:p>
    <w:p w:rsidR="008040EE" w:rsidRPr="00DC39C6" w:rsidRDefault="00DC39C6" w:rsidP="001775A4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775A4">
        <w:rPr>
          <w:rFonts w:ascii="Times New Roman" w:hAnsi="Times New Roman" w:cs="Times New Roman"/>
          <w:sz w:val="28"/>
          <w:szCs w:val="28"/>
        </w:rPr>
        <w:t>График 1</w:t>
      </w:r>
      <w:r w:rsidR="005A3265">
        <w:rPr>
          <w:noProof/>
          <w:lang w:eastAsia="ru-RU"/>
        </w:rPr>
        <w:drawing>
          <wp:inline distT="0" distB="0" distL="0" distR="0" wp14:anchorId="45A1105E" wp14:editId="4EFDB44C">
            <wp:extent cx="6018028" cy="3476847"/>
            <wp:effectExtent l="0" t="0" r="2095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8040EE" w:rsidRPr="00DC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0.9pt;height:10.9pt" o:bullet="t">
        <v:imagedata r:id="rId1" o:title="mso4E0"/>
      </v:shape>
    </w:pict>
  </w:numPicBullet>
  <w:abstractNum w:abstractNumId="0">
    <w:nsid w:val="3C652022"/>
    <w:multiLevelType w:val="hybridMultilevel"/>
    <w:tmpl w:val="50367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5124C"/>
    <w:multiLevelType w:val="hybridMultilevel"/>
    <w:tmpl w:val="312A80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D9"/>
    <w:rsid w:val="000B27E6"/>
    <w:rsid w:val="00134893"/>
    <w:rsid w:val="001775A4"/>
    <w:rsid w:val="00252161"/>
    <w:rsid w:val="003E07BE"/>
    <w:rsid w:val="004960EB"/>
    <w:rsid w:val="004D0C7D"/>
    <w:rsid w:val="005A3265"/>
    <w:rsid w:val="005C74F0"/>
    <w:rsid w:val="006256C8"/>
    <w:rsid w:val="00641C19"/>
    <w:rsid w:val="007A14D9"/>
    <w:rsid w:val="008040EE"/>
    <w:rsid w:val="00BB218D"/>
    <w:rsid w:val="00C10CD1"/>
    <w:rsid w:val="00C90731"/>
    <w:rsid w:val="00CB20E7"/>
    <w:rsid w:val="00D325F7"/>
    <w:rsid w:val="00D851D6"/>
    <w:rsid w:val="00D87AE5"/>
    <w:rsid w:val="00DC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2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2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2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2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15"/>
      <c:rotY val="20"/>
      <c:rAngAx val="1"/>
    </c:view3D>
    <c:floor>
      <c:thickness val="0"/>
      <c:spPr>
        <a:solidFill>
          <a:schemeClr val="bg1">
            <a:lumMod val="85000"/>
          </a:schemeClr>
        </a:solidFill>
        <a:ln w="19050">
          <a:solidFill>
            <a:sysClr val="windowText" lastClr="000000"/>
          </a:solidFill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027334420485555"/>
          <c:y val="7.7486910994764402E-2"/>
          <c:w val="0.63306449399800924"/>
          <c:h val="0.744394442841241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Лист1!$C$2</c:f>
              <c:strCache>
                <c:ptCount val="1"/>
                <c:pt idx="0">
                  <c:v>Норматив минимальной обеспеченности населения площадью торговых объектов, кв. м на 1000 чел.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4.2206516819130978E-3"/>
                  <c:y val="0.103542981196176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5.2356020942408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001803248505988E-3"/>
                  <c:y val="9.20492308258691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  <a:ln w="19050">
                <a:solidFill>
                  <a:srgbClr val="0070C0"/>
                </a:solidFill>
              </a:ln>
            </c:spPr>
            <c:txPr>
              <a:bodyPr/>
              <a:lstStyle/>
              <a:p>
                <a:pPr>
                  <a:defRPr sz="1200" b="1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Лист1!$B$3:$B$5</c:f>
              <c:strCache>
                <c:ptCount val="3"/>
                <c:pt idx="0">
                  <c:v>Всего</c:v>
                </c:pt>
                <c:pt idx="1">
                  <c:v>По продаже продовольственных товаров</c:v>
                </c:pt>
                <c:pt idx="2">
                  <c:v>По продаже непродовольственных товаров</c:v>
                </c:pt>
              </c:strCache>
            </c:strRef>
          </c:cat>
          <c:val>
            <c:numRef>
              <c:f>Лист1!$C$3:$C$5</c:f>
              <c:numCache>
                <c:formatCode>0.00</c:formatCode>
                <c:ptCount val="3"/>
                <c:pt idx="0">
                  <c:v>456.55</c:v>
                </c:pt>
                <c:pt idx="1">
                  <c:v>139.33000000000001</c:v>
                </c:pt>
                <c:pt idx="2">
                  <c:v>317.22000000000003</c:v>
                </c:pt>
              </c:numCache>
            </c:numRef>
          </c:val>
        </c:ser>
        <c:ser>
          <c:idx val="1"/>
          <c:order val="1"/>
          <c:tx>
            <c:strRef>
              <c:f>Лист1!$D$2</c:f>
              <c:strCache>
                <c:ptCount val="1"/>
                <c:pt idx="0">
                  <c:v>Фактическая обеспеченность населения площадью торговых объектов, кв. м на 1000 чел.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6.8336338747509977E-3"/>
                  <c:y val="0.101448841852644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005268170902493E-3"/>
                  <c:y val="8.68378984861567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943959715707538E-3"/>
                  <c:y val="9.4143370169400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/>
              </a:solidFill>
              <a:ln w="19050">
                <a:solidFill>
                  <a:srgbClr val="C00000"/>
                </a:solidFill>
              </a:ln>
            </c:spPr>
            <c:txPr>
              <a:bodyPr/>
              <a:lstStyle/>
              <a:p>
                <a:pPr>
                  <a:defRPr sz="1200" b="1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Лист1!$B$3:$B$5</c:f>
              <c:strCache>
                <c:ptCount val="3"/>
                <c:pt idx="0">
                  <c:v>Всего</c:v>
                </c:pt>
                <c:pt idx="1">
                  <c:v>По продаже продовольственных товаров</c:v>
                </c:pt>
                <c:pt idx="2">
                  <c:v>По продаже непродовольственных товаров</c:v>
                </c:pt>
              </c:strCache>
            </c:strRef>
          </c:cat>
          <c:val>
            <c:numRef>
              <c:f>Лист1!$D$3:$D$5</c:f>
              <c:numCache>
                <c:formatCode>0.00</c:formatCode>
                <c:ptCount val="3"/>
                <c:pt idx="0">
                  <c:v>762.7</c:v>
                </c:pt>
                <c:pt idx="1">
                  <c:v>302.8</c:v>
                </c:pt>
                <c:pt idx="2">
                  <c:v>459.9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4052864"/>
        <c:axId val="170668416"/>
        <c:axId val="0"/>
      </c:bar3DChart>
      <c:catAx>
        <c:axId val="1740528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>
                <a:latin typeface="+mn-lt"/>
                <a:cs typeface="Times New Roman" panose="02020603050405020304" pitchFamily="18" charset="0"/>
              </a:defRPr>
            </a:pPr>
            <a:endParaRPr lang="ru-RU"/>
          </a:p>
        </c:txPr>
        <c:crossAx val="170668416"/>
        <c:crosses val="autoZero"/>
        <c:auto val="1"/>
        <c:lblAlgn val="ctr"/>
        <c:lblOffset val="100"/>
        <c:noMultiLvlLbl val="0"/>
      </c:catAx>
      <c:valAx>
        <c:axId val="170668416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extTo"/>
        <c:crossAx val="17405286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 rtl="0">
              <a:defRPr sz="1000" b="1"/>
            </a:pPr>
            <a:endParaRPr lang="ru-RU"/>
          </a:p>
        </c:txPr>
      </c:legendEntry>
      <c:legendEntry>
        <c:idx val="1"/>
        <c:txPr>
          <a:bodyPr/>
          <a:lstStyle/>
          <a:p>
            <a:pPr rtl="0">
              <a:defRPr sz="1000" b="1"/>
            </a:pPr>
            <a:endParaRPr lang="ru-RU"/>
          </a:p>
        </c:txPr>
      </c:legendEntry>
      <c:layout>
        <c:manualLayout>
          <c:xMode val="edge"/>
          <c:yMode val="edge"/>
          <c:x val="0.75602240468140058"/>
          <c:y val="0.20500965530253568"/>
          <c:w val="0.24234895907488532"/>
          <c:h val="0.59280393782180751"/>
        </c:manualLayout>
      </c:layout>
      <c:overlay val="0"/>
      <c:txPr>
        <a:bodyPr/>
        <a:lstStyle/>
        <a:p>
          <a:pPr rtl="0">
            <a:defRPr sz="1000" b="1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>
          <a:lumMod val="75000"/>
        </a:schemeClr>
      </a:solidFill>
    </a:ln>
  </c:spPr>
  <c:txPr>
    <a:bodyPr/>
    <a:lstStyle/>
    <a:p>
      <a:pPr>
        <a:defRPr sz="1400"/>
      </a:pPr>
      <a:endParaRPr lang="ru-RU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2" Type="http://schemas.microsoft.com/office/2007/relationships/hdphoto" Target="../media/hdphoto1.wdp"/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0.23349</cdr:x>
      <cdr:y>0</cdr:y>
    </cdr:from>
    <cdr:to>
      <cdr:x>0.82688</cdr:x>
      <cdr:y>0.14834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BEBA8EAE-BF5A-486C-A8C5-ECC9F3942E4B}">
              <a14:imgProps xmlns:a14="http://schemas.microsoft.com/office/drawing/2010/main">
                <a14:imgLayer r:embed="rId2">
                  <a14:imgEffect>
                    <a14:artisticGlowEdges/>
                  </a14:imgEffect>
                  <a14:imgEffect>
                    <a14:saturation sat="0"/>
                  </a14:imgEffect>
                  <a14:imgEffect>
                    <a14:brightnessContrast bright="-40000" contrast="40000"/>
                  </a14:imgEffect>
                </a14:imgLayer>
              </a14:imgProps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1405118" y="0"/>
          <a:ext cx="3570959" cy="515723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54974-BCE5-4DB5-82A0-91C0AA34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rodnina</dc:creator>
  <cp:keywords/>
  <dc:description/>
  <cp:lastModifiedBy>rodnina</cp:lastModifiedBy>
  <cp:revision>16</cp:revision>
  <cp:lastPrinted>2015-05-14T04:19:00Z</cp:lastPrinted>
  <dcterms:created xsi:type="dcterms:W3CDTF">2015-05-13T07:47:00Z</dcterms:created>
  <dcterms:modified xsi:type="dcterms:W3CDTF">2015-05-14T04:20:00Z</dcterms:modified>
</cp:coreProperties>
</file>